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27.09.2022, оставленным без изменения постановлением Третьего арбитражного апелляционного суда от 23.03.2023, спорные пункты приняты в редакции, предложенной истцом (перевозчиком). Арбитражный суд Восточно-Сибирского округа постановлением от 11.07.2023 решение от 27.09.2022 и постановление апелляционного суда от 23.03.2023 изменил: исключил из пункта 17.4 договора условие о том, что в случае изменения размера ставки договорного сбора перевозчиком автоматически пересматривается плата за пользование железнодорожным путем необщего пользования, принадлежащим перевозчику, о чем владелец уведомляется в письменном виде. 2 В кассационной жалобе акционерное общество «Енисейская территориальная генерирующая компания» просит об отмене судебных актов в части принятия спорных пунктов 16, 17.4 в редакции истца, ссылаясь на принятие ненадлежащих доказательств для определения статуса пути как пути необщего пользования и экономического обоснования платы за его использование.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правоустанавливающих документов определили путь имеющим статус необщего пользования, предоставляющий перевозчику в силу статьи 58 Устава железнодорожного транспорта право взимания платы за его использование, обоснование размера которой представлено.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«Енисейская территориальная генерирующая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