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11.01.2023, оставленным без изменения постановлением Девятнадцатого арбитражного апелляционного суда от 24.04.2023 и постановлением Арбитражного суда Центрального округа от 27.07.2023, требование признано обоснованным и включено в третью очередь реестра. В кассационной жалобе Бондарев Е.В. просит об отмене судебных актов, ссылаясь на пропуск срока на включение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сдачу почтового отправления с требованием до истечения срока на включение требования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Бондареву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