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12.04.2023, оставленным без изменения постановлением Седьмого арбитражного апелляционного суда от 31.05.2023 и постановлением Арбитражного суда Западно-Сибирского округа от 07.09.2023, в удовлетворении ходатайства должника о передаче дела по подсудности отказано. В кассационной жалобе Андронников В.П. просит об отмене судебных актов, ссылаясь на наличие условий для изменения подсудности.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2 Должником не опровергнуты критерии, по которым Арбитражным судом Новосибирской области определена подсудность ему дела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Андронникову Виталию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