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03.02.2023, оставленным без изменения постановлением Десятого арбитражного апелляционного суда от 21.04.2023 и постановлением Арбитражного суда Московского округа от 27.07.2023, в удовлетворении заявления отказано. В кассационной жалобе Постной А.Н. просит об отмене судебных актов, ссылаясь на неправильную оценку обстоятельств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Суды, учитывая период совершения сделки, признали ее не попадающей под проверку на соответствие законодательству о банкротстве, а обстоятельства заключения – не создающими недействительности сделки в силу статей 10, 168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Постнову Александру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