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Белгородской области от 23.01.2023, оставленным без изменения постановлением Девятнадцатого арбитражного апелляционного суда от 02.05.2023 и постановлением Арбитражного суда Центрального округа от 01.09.2023, заявление удовлетворено. В кассационной жалобе Кузнецова Е.А. просит об отмене судебных актов, ссылаясь на отсутствие законных условий для признания договора недействительным.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Безвозмездное отчуждение имущества при наличии установленных приговором суда обязательств перед кредиторами суды признали выходящим за пределы осуществления должником и супругой гражданских прав и влекущим последствия в виде недействительности сделки в силу статьей 10, 168 Гражданского кодекса Российской Федерации. Иная оценка тех же обстоятельств сделки не создает оснований для кассационного пересмотра судебных актов. Доводу об исполнительском иммунитете в отношении квартиры дана оценка.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Кузнецовой Елене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