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28.02.2023 в удовлетворении иска отказано. Тринадцатый арбитражный апелляционный суд постановлением от 06.06.2023 отменил решение от 28.02.2023 и удовлетворил иск. Арбитражный суд Северо-Западного округа постановлением от 06.09.2023 постановление апелляционного суда от 06.06.2023 оставил без изменения. В кассационной жалобе общество «Трансойл» просит об отмене судебных актов апелляционного и окружного судов, ссылаясь на подтвержденность простаивания вагонов по вине истца, возможное неосновательное обогащение истца.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причинно-следственную связь между отступлением ответчика от графика подачи вагонов и уплаченной железной дороге за занятость фронта погрузки суммой, необходимую для взыскания ее в качестве убытков в силу статей 15, 393 Гражданского кодекса Российской Федерации. Вопросы доказывания и оценки доказательств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