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и применении последствий недействительности следующих сделок: выплаты должником в период с 05.07.2021 по 06.07.2021 дивидендов ФИО1 в размере 1 601 588 рублей; договоров займа от 05.05.2020 № 1 и от 25.03.2021 № 3; платежей должника в пользу ФИО1 от 08.12.2020 на 924 000 рублей. Определением Арбитражного суда города Москвы от 15.03.2023 отказано в удовлетворении заявления. Постановлением Девятого арбитражного апелляционного суда от 29.05.2023, оставленным без изменения постановлением Арбитражного суда Московского округа от 21.08.2023, изменено определение суда первой инстанции от 15.03.2023; признано недействительной сделкой перечисление должником дивидендов в пользу ФИО1 в размере 1 601 588 рублей; применены последствия недействительности сделки в виде взыскания с ФИО1 в конкурсную массу должника денежные средства в указанном размере; в остальной части определение оставлено без изменения.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 в части удовлетворения требований, оставить в силе определение суда первой инстанции или направить обособленный спор на новое рассмотрение.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определение суда первой инстанции в обжалуемой части, апелляционный суд, руководствуясь положениями статьи 19 и пункта 2 статьи 61.2 Федерального закона от 26.10.2002 № 127-ФЗ «О несостоятельности (банкротстве)», установив совершение оспариваемых сделок аффилированными лицами с противоправной целью в пределах периода подозрительности, при наличии признаков несостоятельности должника и отсутствии экономической целесообразности, пришли к выводу о частичной обоснованности заявления, указав на следствие сделок – причинение вреда имущественным правам кредиторов должника.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НАУЧНО-ПРОИЗВОДСТВЕННОЕ ОБЪЕДИНЕНИЕ "СЕЛЬСКОХОЗЯЙСТВЕННЫЕ ТЕХНОЛОГИИ"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