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21.12.2022, оставленным без изменения постановлением Восьмого арбитражного апелляционного суда от 16.06.2023 и постановлением Арбитражного суда Западно-Сибирского округа от 07.09.2023, требование кредитора в размере 566 968 рублей 42 копейки включено в третью очередь реестра. В кассационной жалобе Чащин О.В. просит об отмене судебных актов, ссылаясь на недобросовестность кредитора и отсутствие проверки со стороны арбитражных судов действительности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доказанность исполнения кредитором солидарной с должником обязанности в качестве основания для включения причитающейся с должника доли в реестр в соответствии со статьями 71, 100 Федерального закона от 26.10.2002 № 127-ФЗ «О несостоятельности (банкротстве)», статьей 325 Гражданского кодекса Российской Федерации. Доводы кассационной жалобы о проверке обоснованности требования были предметом рассмотрения судов, мотивированно отклонены и не создают оснований для пересмотра судебных актов в кассационном порядке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Чащину Олегу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