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города Москвы от 28.03.2023, оставленным без изменения постановлением Девятого арбитражного апелляционного суда от 06.06.2023 и постановлением Арбитражного суда Московского округа от 05.09.2023, в удовлетворении заявления отказано. В кассационной жалобе Агабеков В.Г. просит об отмене судебных актов, ссылаясь на неправильную оценку обстоятельств заключения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условий для признания сделки недействительной согласно заявленным общегражданским основаниям. Иная оценка обстоятельств спора, изложенная в жалобе,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Агабекову Валерию Гарриевичу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