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товарищество обратилось с жалобой на действия бывшего и текущего конкурсных управляющих должником Дрочнева Михаила Васильевича и Мозговенко Андрея Владимировича (далее – ответчики), выразившиеся в заключении договора на оказание юридических услуг от 23.07.2019 № 1/07-19 с Адвокатским бюро «Юшин и партнеры» (далее – специалист) и выплате названному бюро 1 100 000 рублей. Определением Арбитражного суда Московской области от 16.03.2023, оставленным без изменения постановлениями Десятого арбитражного апелляционного суда от 06.06.2023 и Арбитражного суда Московского округа от 29.08.2023, в удовлетворении жалобы отказано.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и отказывая в удовлетворении жалобы, суды, руководствуясь статьями 20.3, 20.4, 60 Федерального закона от 26.10.2002 № 127-ФЗ «О несостоятельности (банкротстве)», исходили из того, что вопрос утверждения расходов на привлечённого специалиста включен в повестку собрания от 17.03.2022 и утверждён конкурсными кредиторами, в том числе заявителем, сам договор на оказание юридических услуг не оспорен, а доказательств его неисполнения или ненадлежащего исполнения не представлено.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заявителя были предметом рассмотрения судов, получили надлежащую правовую оценку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