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Свердлик Г.В., привлекаемый к субсидиарной ответственности по обязательствам должника, обратился в суд с жалобой на действия (бездействие) конкурсного управляющего должником Пациции Арчила Мегановича и требованием об отстранении последнего от исполнения обязанностей. Определением Арбитражного суда Нижегородской области от 02.02.2023, оставленным без изменения постановлением Первого арбитражного апелляционного суда от 17.04.2023, отказано в удовлетворении жалобы. Свердлик Г.В. 21.05.2023 обратился в суд округа с кассационной жалобой на названные судебные акты, ходатайствуя о восстановлении пропущенного срока подачи жалобы. Определением Арбитражного суда Волго-Вятского округа от 09.06.2023, оставленным без изменения определением Арбитражного суда Волго-Вятского округа от 02.08.2023, жалоба возвращена заявителю. В кассационной жалобе, поданной в Верховный Суд Российской Федерации, заявитель просит отменить указанные определения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и проверяя обоснованность такого возврата, суд округа, руководствуясь положениями статей 9, 117 и 276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