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Поволжского округа от 09.08.2023, оставленным без изменения определением того же суда от 12.09.2023, жалоба Абрамова Е.В. в части обжалования определения Арбитражного суда Самарской области от 14.07.2021 возвращена на основании пункта 5 части 1 статьи 281 Арбитражного процессуального кодекса Российской Федерации как поданная на судебный акт, который не был обжалован в арбитражный суд апелляционной инстанции; в части обжалования постановления Одиннадцатого арбитражного апелляционного суда от 14.12.2021 жалоба возвращена в связи с пропуском срока подачи и отказом в его восстановлении. В кассационной жалобе Абрамов Е.В. просит отменить судебные акты окружного суда как незаконные.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Определение суда первой инстанции от 14.07.2021 не обжаловано в апелляционном порядке, поэтому жалоба правомерно возвращена окружным судом. Также суд округа оценил приведенную причину пропуска срока на обжалование постановления апелляционного суда от 14.12.2021 и установил отсутствие у нее объективного характера. Отказ в восстановлении пропущенного процессуального срока соответствует части 2 статьи 117 и пункту 2 части 1 статьи 281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Абрамову Евгению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