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08.02.2023, оставленным без изменения постановлением Второго арбитражного апелляционного суда от 15.05.2023 и постановлением Арбитражного суда Волго-Вятского округа от 04.09.2023, процедура реализации имущества гражданина завершена, должник не освобожден от дальнейшего исполнения требований общества с ограниченной ответственностью «Кредит Коллект». В кассационной жалобе Рыбаков И.Л. просит об отмене судебных актов в части неосвобождения его от исполнения обязательства,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 исследованных обстоятельствах образования и погашения задолженности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ее уплаты.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Рыбакову Ивану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