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29.12.2022, оставленным без изменения постановлением Девятого арбитражного апелляционного суда от 27.03.2023 и постановлением Арбитражного суда Московского округа от 03.08.2023, в удовлетворении иска отказано. В кассационной жалобе общество «ТрансРесурс» просит об отмене судебных актов, ссылаясь на неосновательное применение ответственности вследствие причинения вреда, а не договорной, независимой от вины.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недоказанность причинно-следственной связи убытков с действиями ответчика, являющейся условием для взыскания убытков вследствие ненадлежащего исполнения договора (статьи 15 , 393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«ТрансРесурс»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"ТрансРесурс" (подробнее) Ответчики: АО "ВАГОННАЯ РЕМОНТНАЯ КОМПАНИЯ - 1"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