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Пятнадцатого арбитражного апелляционного суда от 01.06.2023, оставленным без изменения постановлением Арбитражного суда Северо-Кавказского округа от 27.07.2023, заявление Гуревича М.В. о пересмотре судебного акта по вновь открывшимся обстоятельствам возвращено применительно к пункту 3 части 1 статьи 315 Арбитражного процессуального кодекса Российской Федерации. В кассационной жалобе Гуревич М.В. просит о пересмотре судебных актов, ссылаясь на незаконный возврат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Возвращение заявление основано на статьях 42, 315 Арбитражного процессуального кодекса Российской Федерации. Изложенные в жалобе доводы не подтверждают нарушения судами норм права, рассматривались и получили соответствующую оценку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Гуревичу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