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25.04.2023, оставленным без изменения постановлением Десятого арбитражного апелляционного суда от 12.07.2023 и постановлением Арбитражного суда Московского округа от 21.09.2023, утверждено Положение о порядке, сроках и условиях продажи имущества должника в редакции залогового кредитора ООО «МФК «КЭШДРАЙВ». В кассационной жалобе Заколупина М.В. просит об отмене судебных актов, ссылаясь на отсутствие у должника права собственности на находящийся в залоге автомобиль и оспаривание сделки в суде общей юрисдикции.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возникновение прав залогодержателя у ООО «МФК «КЭШДРАЙВ» ранее прав другого залогового кредитора, дающее преимущество на определение условий продажи имущества (статьи 110, 111, 138 Федерального закона «О несостоятельности (банкротстве)», статья 342 Гражданского кодекса Российской Федерации). Доводы кассационной жалобы были предметом рассмотрения апелляционного и окружного судов, мотивированно отклонены и не создают оснований для пересмотра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Заколупиной М.В.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