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Белгородской области от 23.03.2023, оставленным без изменения постановлением Девятнадцатого арбитражного апелляционного суда от 20.06.2023 и постановлением Арбитражного суда Центрального округа от 30.08.2023, заявление удовлетворено. В кассационной жалобе общество просит об отмене судебных актов, ссылаясь на ненадлежащие оценку обстоятельств приобретения имущества и определение их принадлежности.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Исключение из конкурсной массы спорного имущества соответствует статье 213.25 Федерального закона от 26.10.2002 № 127-ФЗ «О несостоятельности (банкротстве)», пункту 3 статьи 6 Федерального закона № 74-ФЗ «О крестьянском (фермерском) хозяйстве» и их судебному толкованию. Отличная от судебной оценка обстоятельств спора и представленных доказательств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«Белгородские гранулированные корма»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