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16.11.2022, оставленным без изменения постановлением Первого арбитражного апелляционного суда от 18.04.2023 и постановлением Арбитражного суда Волго-Вятского округа от 08.09.2023, признаны незаконными действия финансового управляющего по распределению денежных средств, поступивших от реализации предмета залога. В кассационной жалобе Чернов Д.М. просит об отмене судебных актов, ссылаясь на несоответствие выводов судов фактическим обстоятельствам дела и нарушение пределов рассмотрения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направление вырученных от продажи единственного находящегося в залоге жилья должника денежных средств на удовлетворение необеспеченных залогом и не составляющих расходы по делу требований в нарушение прав должника, в защиту которых подана жалоба, поэтому в силу статей 20.3, 138, 213.9, 213.27 Федерального закона от 26.10.2002 № 127-ФЗ «О несостоятельности (банкротстве)» удовлетворили ее в заявленных пределах.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Чернову Д.М.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