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25.04.2023, оставленным без изменения постановлением Семнадцатого арбитражного апелляционного суда от 29.06.2023 и постановлением Арбитражного суда Уральского округа от 26.09.2023, в удовлетворении заявления отказано. В кассационной жалобе Наговицына Е.О. просит об отмене судебных актов, ссылаясь на игнорирование согласия кредитора на приобретение должнику замещающего жилья.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квартира является единственным пригодным для постоянного проживания должника и членов его семьи жильем, не обладает чрезмерными количественными и качественными характеристиками и признаками для снятия исполнительского иммунитета, в связи с чем в силу статьи 446 Гражданского процессуального кодекса Российской Федерации не подлежит реализации в деле о банкротстве должника. Доводы кассационной жалобы были предметом рассмотрения судов, мотивированно отклонены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Наговицыной Е.О.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