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намерении погасить требования кредиторов к должнику в полном объёме. Определением Арбитражного суда Самарской области от 02.02.2022 требования кредиторов признаны погашенными, за исключением требования общества в размере 402 216 рублей 88 копеек; в удовлетворении ходатайства о прекращении производства по делу отказано. Постановлением Одиннадцатого арбитражного апелляционного суда от 22.03.2022 данное определение в части признания требований кредиторов частично погашенными отменено, заявление в указанной части оставлено без удовлетворения. В остальной части определение суда первой инстанции от 02.02.2022 оставлено без изменения.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судов в части отказа в удовлетворении ходатайства о прекращении производства по делу.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 и отказывая в прекращении производства по делу, суды первой и апелляционной инстанции, руководствуясь положениями статей 57 , 113 , 125 Федерального закона от 26.10.2002 № 127-ФЗ «О несостоятельности (банкротстве)», исходили из того, что требование общества, не заявившего отказ от него, не погашено должником и числится таковым в реестре требований кредиторов должника. Выводы судов первой и апелляционной инстанции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«Содержание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Ответчики: ООО "Леда"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