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Бондаренко А.А. обратился в суд с жалобой на действия (бездействие) бывшего конкурсного управляющего должником Тимофеевой Елены Богдановны и взыскании с неё убытков по следующим эпизодам: непринятие мер по востребованию дебиторской задолженности; непроведение инвентаризации и оценки дебиторской задолженности; невключение в конкурсную массу должника товарно-материальных ценностей на сумму 3 839 596 рублей 62 копеек; необеспечение сохранности такого имущества; необеспечение сохранности и оценки имущества должника на сумму 5 991 993 рублей 36 копеек. Кроме того, в жалобе конкурсный кредитор просил взыскать с Тимофеевой Е.Б. в пользу должника убытки в размере 32 443 262 рублей 26 копеек, составляющих невостребованную арбитражным управляющим дебиторскую задолженность, и убытков в размере 9 831 589 рублей 92 копеек, причиненных не включением в конкурсную массу имущества должника и не обеспечением его сохранности. Определением Арбитражного суда Челябинской области от 09.12.2022, оставленным без изменения постановлениями Восемнадцатого арбитражного апелляционного суда от 02.05.2023 и Арбитражного суда Уральского округа от 04.08.2023, выделен в отдельное производство эпизод жалобы о признании незаконными действий (бездействия) арбитражного управляющего Тимофеевой Е.Б. в связи с не проведением инвентаризации, оценкой имущества и не обеспечением его сохранности в отношении имущественного комплекса (дизельный генератор, осветительные сети по адресу: г. Коркино, ул. Керамиков, 36, блок контейнер 4000*2400*2600, технологическая линия 2 «ТЕРОК»), и требование о взыскании убытков в размере 5 991 993 рублей 36 копеек; в оставшейся части в удовлетворении жалобы на действия (бездействие) арбитражного управляющего Тимофеевой Е.Б. и требования о взыскании с неё убытков – отказано.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жалобы и требования о взыскания убытков, принять по делу новый судебный акт об удовлетворении заявленных требований или направить обособленный спор на новое рассмотрение.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заявленных требований в обжалуемой части, суды, руководствуясь статьёй 15 Гражданского кодекса Российской Федерации, статьями 20.3, 20.4, 60, 129, 135 Федерального закона от 26.10.2002 № 127-ФЗ «О несостоятельности (банкротстве)», не установили фактов незаконности действий (бездействия) конкурсного управляющего, нарушения прав и законных интересов заявителя, а также оснований для взыскания с неё убытков в заявленном размере.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