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29.11.2023 обратилось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знал о состоявшихся судебных актах. Текст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Нарушение порядка подачи кассационной жалобы и его последующее устранение не приостанавливает течение сроков на подачу жалобы. Также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В соответствии с частью 2 статьи 9 Арбитражного процессуального кодекса Российской Федерации лица, участвующие в деле, несут риск наступления последствий совершения или не 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муниципального унитарного предприятия «Горсвет» городского округа «город Якутск»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МУП "Горсвет" Городского округа "Город Якутск" (подробнее) Ответчики: ПАО СТРАХОВАЯ КОМПАНИЯ "РОСГОССТРАХ"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