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28.04.2023, оставленным без изменения постановлением Арбитражного суда Московского округа от 10.07.2023, утверждено мировое соглашение между должником и товариществом, производство по делу о банкротстве прекращено. В кассационной жалобе податели просят об отмене судебных актов, ссылаясь на нарушение соглашением прав членов и иных собственников недвижимости товарищества, общее собрание которого не принимало решения о прощении долга, личную заинтересованность подписавшего соглашение от имени товарищества председателя в преодолении взыскания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установленной ситуации наличия у должника единственного кредитора в лице товарищества, в котором имеется корпоративный конфликт, состоящий в причинно-следственной связи с заявленным долгом, суды правомерно указали на ненарушение заключенным мировым соглашения чьих-либо прав. Мировое соглашение не является прощением долга и не может преодолевать состоявшееся решение суда о взыскании с должника задолженности, поскольку при неисполнении может быть принудительно исполнено или расторгнуто с возобновлением процедуры банкротства (статьи 166, 167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недвижимости «ФОРЕСТ», Слав М.Б., Лепедину П.В., Райх М.В., Согомонян Н.Э., Колотилиной В.В., Левиной Е.А., Крыловой М.Е., Медведевой С.Н., Кашаповой А.А., Баканову В.П.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