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30.03.2023, оставленным без изменения постановлением Двенадцатого арбитражного апелляционного суда от 25.05.2023 и постановлением Арбитражного суда Поволжского округа от 09.08.2023, в удовлетворении заявления отказано. В кассационной жалобе Холвина Е.В. просит об отмене судебных актов, ссылаясь на нарушение единообразного применения обязанности заявителя по выплате вознаграждения, игнорирование частно-правового характера вознаграждения, неосновательное возложение последствий бездействия заявителя на арбитражного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Порядок распределения судебных расходов и расходов на выплату вознаграждения арбитражным управляющим по делу о банкротстве определен статьей 59 Федерального закона от 26.10.2002 № 127-ФЗ «О несостоятельности (банкротстве)», в соответствии с пунктом 1 которой расходы на выплату вознаграждения возмещаются за счет имущества должника. В случае отсутствия у должника средств, достаточных для погашения расходов, заявитель обязан погасить данные расходы в части, не погашенной за счет имущества должника (пункт 3 статьи 59). Суды установили неприбегание управляющим к погашению расходов за счет должника, невозможность которого являлась бы основанием возникновения обязанности заявителя по погашению расходов. Дополнительный характер обязанности возмещения расходов заявителем, примененный судом, соответствует судебной практике. Частно-правовой характер вознаграждения состоит в получении его за достигнутый результат. Суды установили недостижение результата в процедуре реализации имущества, в которой исполнял функции управляющий, добровольно сложивший их с себя до окончания процедуры, что не дает право ссылаться на незаконное лишение вознаграждения. Доводы жалобы, в том числе о неликвидности имущества должника, являлись предметом рассмотрения судов, получили надлежащую правовую оценку и не создают оснований для пересмотра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Холвиной Елене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