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28.11.2023 с ходатайством о восстановлении срока. Заявитель просит восстановить срок в связи с публикацией 27.09.2023 полного текста постановления окружного суда от 26.09.2023.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 (часть 1 статьи 177 Кодекса) и невозможность ссылаться на них в обоснование пропуска срока подачи жалобы. В отсутствие объективной причины пропуска срока он восстановлению не подлежит. 2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Мулюкову Петру Николаевичу в восстановлении срока подачи кассационной жалобы на постановление Первого арбитражного апелляционного суда от 24.04.2023 и постановление Арбитражного суда Волго-Вятского округа от 26.09.2023 по делу № А79-3621/2022 Арбитражного суда Чувашской Республики – Чувашии. Кассационную жалобу Мулюкова Петра Николаевича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