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Бурятия от 14.01.2019 процедура реализации имущества ФИО1 завершена. Кредитор ПАО «Промсвязьбанк» обратился в Арбитражный суд Республики Бурятия с заявлением о пересмотре определения суда по вновь открывшимся обстоятельствам. Определением Арбитражного суда Республики Бурятия от 31.10.2022 производство по заявлению банка прекращено. Постановлением Четвертого арбитражного апелляционного суда от 04.05.2023 определение суда первой инстанции оставлено без изменения. Арбитражный суд Восточно-Сибирского округа постановлением от 10.08.2023 указанные судебные акты оставил без изменения. ПАО «Промсвязьбанк»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Прекращая производство по заявлению банка, суды руководствовались статьями 311 и 312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пропуска заявителем срока на обращение в суд с требованием о пересмотре по вновь открывшимся обстоятельствам вступившего в законную силу судебного акта.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Ассоциация Саморегулируемая организация арбитражных управляющих Меркурий (подробнее) ПАО Промсвязьбанк в лице Бурятского филиала (подробнее) Управление федеральной наловой службы России по Республике Бурятия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