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АО «Южно-Уральский арматурный завод «СТАН-2000» обратилось в Арбитражный суд Челябинской области с иском о взыскании с ИП Гвоздкова А.В. 334 524 рублей убытков. К участию в деле в качестве третьего лица, не заявляющего самостоятельных требований относительно предмета спора, привлечено ООО «ИнтерРейл Сервис». Решением Арбитражного суда Челябинской области от 30.01.2023 иск удовлетворен. Постановлением Восемнадцатого арбитражного апелляционного суда от 02.05.2023 решение суда первой инстанции оставлено без изменения. Арбитражный суд Уральского округа постановлением от 09.08.2023 указанные судебные акты оставил без изменения. ИП Гвоздков А.В.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что расходы понесены истцом в связи действиями ответчика, не исполнившего надлежащим образом условия договора; оплата выставленного третьим лицом ответчику счета произведена истцом в целях минимизации неблагоприятных последствий в виде увеличения срока хранения, выставления штрафных санкций, руководствуясь положениями статей 15, 393, 803 Гражданского кодекса Российской Федерации, суды пришли к выводу о наличии оснований для взыскания убытков.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