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 одном производстве рассматриваются заявление Кханбхай Екатерины Олеговны о взыскании убытков с Мешалкина В.Я., заявление конкурсного управляющего должником Свистунова Антона Юрьевича о привлечении Мешалкина В.Я., Ларина Ивана Александровича, Иванова Олега Геннадьевича, Тупицина Константина Борисовича, Лачину Наталью Павловну, общество с ограниченной ответственностью «Проба Плюс», Кханбхай Е.О., Черепанову Людмилу Викторовну к субсидиарной ответственности, заявление конкурсного кредитора Гаммадова Ибрагима Каландаровича о привлечении к субсидиарной ответственности Кханбхай Е.О. Мешалкиным В.Я. в судебном заседании Арбитражного суда Челябинской области 18.01.2023 заявлено ходатайство о выделении в отдельное производство рассмотрение заявления Кханбхай Е.О. о взыскании убытков с Мешалкина В.Я. Определением Арбитражного суда Челябинской области от 18.01.2023, оставленным без изменения постановлением Восемнадцатого арбитражного апелляционного суда от 28.03.2023, в удовлетворении ходатайства отказано. 2 Определением Арбитражного суда Уральского округа от 18.05.2023, оставленным без изменения определением Арбитражного суда Уральского округа от 04.08.2023 кассационная жалоба возвращена Мешалкину В.Я. В кассационной жалобе, поданной в Верховный Суд Российской Федерации, заявитель просит отменить судебные акты об отказе в удовлетворении ходатайства о выделении обособленного спора о взыскании с него убытков в отдельное производство, заявленное ходатайство удовлетворить. Письмом Верховного Суда Российской Федерации от 09.10.2023 № 309–ЭС18–21618 кассационная жалоба заявителя в части обжалования определения суда первой инстанции от 18.01.2023 и постановления суда апелляционной инстанции от 28.03.2023, возвращена без рассмотрения на основании пункта 3 части 1 статьи 291.5 Арбитражного процессуального кодекса Российской Федерации, как поданная с нарушением правил, установленных частью 1 статьи 291.2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Мешалкина В.Я., суд округа, руководствуясь частью 7 статьи 130 Арбитражного процессуального кодекса Российской Федерации с учетом разъяснений, изложенных в пункте 6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 из того, что обжалование определения об отказе в выделении заявления в отдельное производство, а также постановление суда апелляционной инстанции, принятого по результатам рассмотрения жалобы на указанное определение суда первой инстанции, в суд округа не предусмотрено. Выводы суда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