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Тверской области обратился ФИО3 с ходатайством о восстановлении срока на подачу заявления о включении требования в реестр требований кредиторов должника и включении требования в размере 2 250 000 рублей в реестр. Определением Арбитражного суда Тверской области от 17.06.2021 срок на подачу заявления восстановлен, заявленное требование признано обоснованным и подлежащим включению в реестр требований кредиторов должника. Постановлением Арбитражного суда Северо-Западного округа от 17.11.2021 определение суда первой инстанции отменено, дело направлено на новое рассмотрение в Арбитражный суд Тверской области. При новом рассмотрении определением Арбитражного суда Тверской области от 06.05.2022 в удовлетворении заявления отказано. Постановлением Четырнадцатого арбитражного апелляционного суда от 24.06.2022 определение суда первой инстанции отменено, требование ФИО3 в размере 2 079 700 рублей признано обоснованным и подлежащим включению в третью очередь реестра требований кредиторов должника. Арбитражный суд Северо-Западного округа постановлением от 14.09.2022 постановление апелляционного суда оставил без изменения. Финансовый управляющий ФИО2 обратилась в Судебную коллегию Верховного Суда Российской Федерации с кассационной жалобой на принятые по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обособленный спор, суды апелляционной и кассационной инстанций руководствовались положениями статей 807 , 808 Гражданского кодекса Российской Федерации, статьями 71 , 100 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доказанности предоставления должнику заемных денежных средств и наличия у кредитора финансовой возможности предоставить заем в оспариваемой сумме.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МО Большемалинское сельское поселение Сандовского района Тверской областиБольшемалинское сельское поселение Сандовского района Тверской области (подробнее) Региональный Экспертный Союз Оценщиков " эксперту Рыкову Олегу Аркадьевичу. (подробнее) Сычева Алла Петровна (сд) (подробнее) Судьи дела: Зарубина Е.Н. (судья) Последние документы по делу: Определение от 29 ноября 2023 г. по делу № А66-6039/2020 Определение от 13 декабря 2022 г. по делу № А66-6039/2020 Показать все документы по этому делу Судебная практика по: Долг по расписке, по договору займа Судебная практика по применению нормы ст. 808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