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обратился в суд с заявлением о включении его требования в реестр требований кредиторов должника. Определением Арбитражного суда города Москвы от 07.06.2019 заявление ФИО3 признано обоснованным, в реестр требований кредиторов ФИО2 включены 42 710 357 рублей 56 копеек. Постановлениями Девятого арбитражного апелляционного суда от 12.09.2019 и Арбитражного суда Московского округа от 03.12.2019 определение суда первой инстанции оставлено без изменения. В кассационной жалобе, поданной в Верховный Суд Российской Федерации, ФИО1 просит отменить определение и постановления судов первой, апелляционной инстанций и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Признавая требование ФИО3 обоснованным,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положениями главы X Федерального закона от 26.10.2002 № 127-ФЗ «О несостоятельности (банкротстве)», разъяснениями, содержащимися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заявитель доказал реальность заемных отношений, на которые он сослался в обоснование своего требования к ФИО2, в то время как доказательств возврата должником заемных средств в материалы спора не представлено. С этим согласился окружной суд. Изложенные в кассационной жалобе ФИО1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Бавинов Андрей (подробнее) Завьялов Сергей (подробнее) ИФНС Росии №24 по г. Москве (подробнее) Кондрашов Сергей (подробнее) Михайлюк Дмитрий (подробнее) ООО "ЯЗОН" (подробнее) Федорова Людмила (подробнее) Иные лица: АО АКБ "ВЕК" (подробнее) Нагатинский районный суд г. Москвы (подробнее) НП АУ Союз СРО СЕМТЭК (подробнее) ООО КОММЕРЧЕСКИЙ БАНК "НЭКЛИС-БАНК" (подробнее) Судьи дела: Разумов И.В. (судья) (подробнее) Последние документы по делу: Определение от 7 октября 2020 г. по делу № А40-68073/2018 Определение от 3 августа 2020 г. по делу № А40-68073/2018 Определение от 10 июня 2020 г. по делу № А40-68073/2018 Определение от 30 марта 2020 г. по делу № А40-68073/2018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