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Шестухиной Л.П. в Арбитражный суд Кемеровской области обратилась Беспалова М.М. с заявлением о признании недействительным договора купли-продажи жилого дома и земельного участка от 08.08.2008, заключенного между должником и Маслечко М.Г., Маслечко В.А., и применении последствий недействительности сделки в виде признания за должником права собственности на отчужденные по договору объекты недвижимого имущества. Определением Арбитражного суда Кемеровской области от 01.12.2022, оставленным без изменения постановлением Седьмого арбитражного апелляционного суда от 02.02.2023 и постановлением Арбитражного суда Западно-Сибирского округа от 15.08.2023, в удовлетворении заявления отказано. Беспалова М.М.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оценили представленные доказательства по правилам статьи 71 Арбитражного процессуального кодекса Российской Федерации, руководствовались статьями 10, 168, 170, 181, 199 Гражданского кодекса Российской Федерации и исходили из недоказанности наличия совокупности обстоятельств, необходимой для признания оспариваемого договора купли-продажи недвижимого имущества недействительным, совершенным при злоупотребления правом и с целью причинения вреда кредиторам, признав также пропущенным срок исковой давности.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