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обществом заявлено ходатайство о предоставлении отсрочки по уплате государственной пошлины за рассмотрение кассационной жалобы.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64, пунктом 2 статьи 33322 и пунктом 1 статьи 33341 Налогового кодекса Российской Федерации. В данном случае заявителем представлены доказательства, свидетельствующие о невозможности исполнения обязанности по уплате государственной пошлины за рассмотрение кассационной жалобы, в связи с чем ходатайство об отсрочке уплаты государственной пошлины подлежит удовлетворению. 2 Руководствуясь статьями 184, 185, 2912 Арбитражного процессуального кодекса Российской Федерации, статьями 64, 33322, 33341 Налогового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«Промышленно- торговая группа» об отсрочке уплаты государственной пошлины при подаче кассационной жалобы удовлетворить. Предоставить заявителю отсрочку уплаты 3 000 рублей государственной пошлины при подаче кассационной жалобы до рассмотрения жалобы по существу.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