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открытого акционерного общества «Строммашина» определением Арбитражного суда Волго-Вятского округа от 10.01.2020 кассационная жалоба ФИО1 на определение Арбитражного суда Ивановской области от 05.02.2019 по настоящему делу возвращена на основании пункта 2 части 1 статьи 281 Арбитражного процессуального кодекса Российской Федерации (далее – Кодекс) в связи с ее подачей по истечении срока на кассационное обжалование и отказом в удовлетворении ходатайства о его восстановлении. Определением Арбитражного суда Поволжского округа от 04.03.2020 определение от 10.01.2020 оставлено без изменения. В кассационной жалобе, поданной в Верховный Суд Российской Федерации, ФИО1 просит отменить принятые по обособленному спору определения окружного суда и восстановить процессуальный срок на подачу кассационной жалобы.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Отказывая в восстановлении пропущенного срока, суд округа руководствовался статьями 9, 117, 188, 276 Кодекса и исходил из пропуска допустимого шестимесячного срока, в пределах которого могло быть подано ходатайство о восстановлении срока на подачу кассационной жалобы, и отсутствия уважительных причин для его восстановления. Оснований для иных выводов не имеется. Изложенные в жалобе доводы не свидетельствуют о неправильном применении судом округа норм права или допущенной ошибке.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ООО "ДеКа-Инвест" (подробнее) ПАО АКБ "Инвестиционный торговый банк" (подробнее) Ответчики: ОАО "Строммашина" (подробнее) Иные лица: АО "СУ-155" (подробнее) Арбитражный суд Владимирской области (подробнее) Арбитражный суд Костромской области (подробнее) Межрайонная ИФНС России №6 по Ивановской области (подробнее) ОАО "Новозыбковский машиностроительный завод" (подробнее) ООО " КантриМилк" (подробнее) ООО К/у "ПИ "ДСК-Проект" Пушкова Е.Г. (подробнее) Судьи дела: Капкаев Д.В. (судья) (подробнее) Последние документы по делу: Определение от 29 ноября 2023 г. по делу № А17-4620/2015 Определение от 23 июля 2020 г. по делу № А17-4620/2015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