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Орловской области обратился финансовый управляющий имуществом должника ФИО3 с заявлением об исключении из конкурсной массы должника жилого дома и земельного участка. Определением Арбитражного суда Орловской области от 04.04.2023, оставленным без изменения постановлением Девятнадцатого арбитражного апелляционного суда от 22.06.2023 и постановлением Арбитражного суда Центрального округа от 28.09.2023, из конкурсной массы должника исключены указанные объекты недвижимого имущества.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финансового управляющего и исключая спорные объекты недвижимости из конкурсной массы должника, суды руководствовались положениями статей 60,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спорный жилой дом является единственным пригодным для проживания должника жильем.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АКБ "ПРОБИЗНЕСБАНК" в лице КУ ГК "Агентство по страхованию вкладов" (подробнее) Иные лица: Союз арбитражных управляющих "Саморегулируемая организация "Дело" (подробнее) СРО "Союз менеджеров и арбитражных управляющих" (подробнее) УФНС РОССИИ ПО ОРЛОВСКОЙ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