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Мурамщиковой С.В. в Арбитражный суд Республики Хакасия обратилась должник с ходатайством об исключении из конкурсной массы квартиры. К участию в обособленном споре в качестве третьего лица, не заявляющего самостоятельных требований относительно предмета спора, привлечен Мурамщиков А.А. Определением Арбитражного суда Республики Хакасия от 09.03.2023 в удовлетворении заявления отказано. Постановлением Третьего арбитражного апелляционного суда от 29.05.2023 определение суда первой инстанции остановлено без изменения. Арбитражный суд Восточно-Сибирского округа постановлением от 25.07.2023 указанные судебные акты оставил без изменения. Мурамщиков А.А. обратился в Судебную коллегию Верховного Суда Российской Федерации с кассационной жалобой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213.25, 213.26 Федерального закона от 26.10.2002 № 127-ФЗ «О несостоятельности (банкротстве)», статьей 34 Семейного кодекса Российской Федерации и исходили из того, что на дату введения процедуры реализации имущества должника право собственности на спорное имущество зарегистрировано за должником, в связи с чем правомерно включено в конкурсную массу.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