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заявлением о включении в реестр требований кредиторов должника (далее – реестр) задолженности в размере 685 960 298 рублей 37 копеек. Определением Арбитражного суда города Санкт – Петербурга и Ленинградской области от 16.11.2022, оставленным без изменения постановлениями Тринадцатого арбитражного апелляционного суда от 03.04.2023 и Арбитражного суда Северо-Западного округа от 01.08.2023,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 включении требования в заявленном размере в третью очередь реестра.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№35 «О некоторых процессуальных вопросах, связанных с рассмотрением дел о банкротстве», исходили из недоказанности наличия оснований для удовлетворения заявленных требований о включении в реестр. Выводы судов соответствуют нормам права, оснований для переоценки этих выводов не имеется.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