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заявлениями, объединенными в одно производство для совместного рассмотрения, в которых просил признать недействительной цепочку притворных сделок: 1) Договор займа от 25.03.2016 № 250316/ПРВМ-ЛУР_(3), заключенный между должником и акционерным обществом «ПСН СТРОЙ»; перечисление по нему должником в пользу общества «ПСН СТРОЙ» денежных средств в размере 123 593 600 рублей; 2) Договор уступки прав (требований) от 25.03.2016 № 250316/MSNF- LUR-AYIRJREC), заключенный между обществом «ПСН СТРОЙ» и фабрикой; перечисление по нему обществом «ПСН СТРОЙ» в пользу фабрики денежных средств в размере 530 000 000 рублей; 3) Договор уступки прав (требований) от 01.07.2016 № 010716/PVM- PRF-PSTR_(REC), заключенный между должником и обществом с ограниченной ответственностью «Провансфинанс». 4) Договор займа от 30.06.2016 № 300616/Г1ВМ-КНТ_(3), заключенный между должником и обществом с ограниченной ответственностью «Контакт»; перечисление по нему должником в пользу общества «Контакт» денежных средств в размере 65 600 000 рублей; 5) Договор уступки прав (требований) от 01.07.2016 № 010716/PMS- YAM-KNT_(REC), заключенный между должником и обществом с ограниченной ответственностью «Ямато»; 6) Соглашение об отступном от 01.07.2016 № 010716/YAM-ALM- KNT_(REC), заключенному между обществами с ограниченной ответственностью «Ямато» и Альмира». Просил применить последствия недействительности сделок. Определением Арбитражного суда города Москвы от 21.12.2022, оставленным без изменения постановлением Девятого арбитражного апелляционного суда от 05.04.2023, производство по заявлению в части оспаривания соглашения об отступном от 01.07.2016 № 010716/YAMALM- KNT_(REC) прекращено, в удовлетворении остальной части заявления конкурсного управляющего отказано. Постановлением Арбитражного суда Московского округа от 28.07.2023 названные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положениями статей 10 и 168 , пункта 2 статьи 170 Гражданского кодекса Российской Федерации, исходил из преждевременности содержащихся в них выводов, сделанных без учёта всех фактических обстоятельств дела, надлежащей правовой оценки приводимых конкурсным управляющим доводов,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"МСОПАУ" (подробнее) Мособлкомплес (подробнее) МСОПА (подробнее) ООО "Логистик Лэнд" (подробнее) ПАО МОЭСК (подробнее) ПАО "РОССЕТИ МОСКОВСКИЙ РЕГИОН" (подробнее) Ответчики: ООО "Первомайское-54"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