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30.05.2023, оставленным без изменения постановлением Десятого арбитражного апелляционного суда от 10.07.2023 и постановлением Арбитражного суда Московского округа от 25.09.2023, производство по заявлению прекращено на основании пункта 2 части 1 статьи 150 Арбитражного процессуального кодекса Российской Федерации. В кассационной жалобе Гончар К.О. просит об отмене судебных актов, ссылаясь на неосновательный вывод о тождественности настоящего и ранее рассмотренного требований.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установлено, что ранее в деле о банкротстве должника разрешен тождественный спор. Доводы заявителя о нетождественности требований являются ошибочными, учитывая совпадение фактических обстоятельств, положенных в их основу.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Гончар Кристине Олеговне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