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27.03.2023, оставленным без изменения постановлением Первого арбитражного апелляционного суда от 21.06.2023 и постановлением Арбитражного суда Волго-Вятского округа от 28.08.2023, заявление общества «Альбатрос» о взыскании с общества «Щербинки» 515 768 рублей судебных расходов удовлетворено на сумму в 411 054 рубля. В кассационной жалобе общество «Щербинки» просит об отмене судебных актов в части удовлетворения заявления, ссылаясь на неразумность и чрезмерность требуемых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в отношении судебных расходов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 Федерации и обстоятельствам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«Щербинки»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