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31.10.2022 в удовлетворении иска отказано. При новом рассмотрении дела постановлением Тринадцатого арбитражного апелляционного суда от 07.06.2023 прекращено производство по делу на сумму в 472 474 рублей в связи с отказом от иска, истцу возвращена госпошлина в размере 6 224 рублей 50 копеек, в остальной части решение от 31.10.2022 оставлено без изменения. Арбитражный суд Северо-Западного округа постановлением от 13.09.2023 постановление апелляционного суда от 07.06.2023 оставил без изменения. В кассационной жалобе общество «Арттранзит» просит об отмене указанных судебных актов, ссылаясь на несоответствие выводов судов о пропуске срока исковой давности фактическим обстоятельствам дела, неразрешение вопроса о судебных расходах по кассационной жалобе.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правоотношения сторон основаны на договоре перевозки и к ним применяется специальный срок исковой давности, предусмотренный пунктом 3 статьи 797 Российской Федерации, пропущенный истцом. Иная оценка обстоятельств, заложенная в жалобе, не создает оснований для кассационного пересмотра судебных актов. Апелляционный суд возвратил госпошлину, причитающуюся на сумму, в отношении которой производство по делу прекращено; в связи с отказом в иске истцу не возмещены судебные расходы.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«Арттранзит»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