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15.11.2023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представитель заявителя участвовал в судебном заседании суда округа,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Ссылка заявителя на то, что заверенные копии судебных актов получены представителем только 22.09.2023, не может являться уважительной причиной пропуска срока, поскольку в соответствии с пунктом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«ПЛАВИТ» о восстановлении пропущенного срока отказать, кассационную жалобу возвратить заявителю.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