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Комиссарова О.В. обратилась в суд с заявлением о взыскании с общества с ограниченной ответственностью «Тосс-Инвест» (далее – общество) 49 900 рублей в возмещение судебных расходов по оплате услуг представителя, понесённых при рассмотрении обособленного спора в взыскании с общества стимулирующего вознаграждения. Определением Арбитражного суда Тюменской области от 22.02.2023, оставленным без изменения постановлениями Восьмого арбитражного апелляционного суда от 05.05.2023 и Арбитражного суда Западно-Сибирского округа от 18.07.2023, заявление удовлетворено частично; с общества в пользу Комиссаровой О.В взыскано 25 000 рублей расходов на оплату услуг представителя; отказано в удовлетворении остальной части требования.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требований и принять новый судебный акт об удовлетворении требований в полном объёме.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101, 106 и 110 Арбитражного процессуального кодекса Российской Федерации, исходили из наличия оснований для удовлетворения заявления в части требований, соответствующей критериям разумности и справедливости.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