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Ким Дё Мин обратился в суд с заявлением о включении в реестр требований кредиторов должника (далее – реестр) требования в размере 3 905 888 рублей 17 копеек как обеспеченного залогом имущества должника (земельных участков и нежилых зданий). Определением Арбитражного суда Сахалинской области от 03.04.2023, оставленным без изменения постановлением Пятого арбитражного апелляционного суда от 29.05.2023, требование в заявленном размере признано обоснованным, не учитываемым в качестве залогового и подлежащим удовлетворению в очерёдности, предшествующей распределению ликвидационной квоты. Постановлением Арбитражного суда Дальневосточного округа от 24.08.2023 данные судебные акты изменены, требование признано обоснованным, не учитываемым в качестве залогового и подлежащим удовлетворению после удовлетворения кредиторов третьей очереди, включённых в реестр. В кассационной жалобе, поданной в Верховный Суд Российской Федерации, заявитель просит отменить названные судебные акты. Доводы жалобы сводится к несогласию заявителя с изменением судом округа принятых по спору судебных актов в части определения очерёдности удовлетворения его требования после требований третьей очереди, считая его подлежащим включению в состав третьей очереди кредиторов как обеспеченного залогом. Доводов о несогласии с определением суда первой инстанции и постановлением апелляционного суда, признавших требование заявителя подлежащим удовлетворению в очерёдности, предшествующей распределению ликвидационной квоты, в поданной заявителем кассационной жалобе не содержится.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принятые по спору судебные акты, суд округа, руководствуясь статьями 10 , 168 , 170 Гражданского кодекса Российской Федерации, пунктом 2 статьи 61.6 Федерального закона от 26.10.2002 № 127-ФЗ «О несостоятельности (банкротстве)», исходил из установленных пороков ничтожных сделок, в связи к которыми заявлено рассматриваемое требование заявителя, в связи с чем согласился с выводом судов о том, что возвращенное в конкурсную массу должника по недействительным сделкам имущество свободно от прав залога в пользу заявителя, но пришёл к выводу о необходимости определения иной очереди его удовлетворения – после удовлетворения требований кредиторов третьей очереди, включённых в реестр.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Ким Дё Мин (подробнее) ООО "Мир Строй" (подробнее) УФНС Росси по Сахалинской области (подробнее) Ответчики: ООО Фирма "Даменс" (подробнее) Иные лица: Ассоциация "Дальневосточная межрегиональная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Меркурий"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