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общество обратилось в суд с заявлением о признании недействительными сделок по перечислению должником денежных средств в адрес Литонинской Олеси Петровны (далее – ответчик) в период с 10.04.2017 по 05.10.2017 в размере 9 650 000 рублей; применении последствий недействительности сделок. Определением Арбитражного суда Московской области от 13.04.2023, оставленным без изменения постановлениями Десятого арбитражного апелляционного суда от 16.06.2023 и Арбитражного суда Московского округа от 13.09.2023,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181, 195, 196, 199, 200 Гражданского кодекса Российской Федерации, пунктом 1 статьи 61.2 Федерального закона от 26.10.2002 № 127-ФЗ «О несостоятельности (банкротстве)», исходили из отсутствия доказательств, опровергающих факты оказания ответчиком оплаченных должником услуг и получения последним соразмерного встречного представления, указав на пропуск заявителем срока исковой давности по заявленному требованию. Выводы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