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об утверждении порядка реализации имущества должника в редакции, принятой собранием кредиторов от 05.12.2022 и предусматривающей продажу дебиторской задолженности стоимостью 10 899 760 рублей 95 копеек путём публичного предложения без проведения торгов. Определением Арбитражного суда Республики Татарстан от 11.04.2023, оставленным без изменения постановлениями Одиннадцатого арбитражного апелляционного суда от 03.07.2023 и Арбитражного суда Поволжского округа от 14.09.2023, отказано в удовлетворении заявления. В кассационной жалобе, поданной в Верховный Суд Российской Федерации, заявитель просит отменить названные судебные акты и направить обособленный спор на новое рассмотрение в Арбитражный суд Республики Татарстан.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статей 139 и 140 Федерального закона от 26.10.2002 № 127-ФЗ «О несостоятельности (банкротстве)», указав на отсутствие доказательств целесообразности предложенного порядка продажи дебиторской заложенности, исходили из отсутствия причин для удовлетворения требований по заявленным основаниям.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по доводам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