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16.11.2023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представитель заявителя участвовал в судебном заседании суда округа, полный текст обжалуемого судебного акта изготовлен судом в полном объеме в установленный срок и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Заявитель также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этом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«Профтехстрой-НН» о восстановлении пропущенного срока отказать, кассационную жалобу возвратить заявителю.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