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Обжалуемые судебные акты – определение суда апелляционной инстанции и постановление суда округа о возвращении апелляционной жалобы лица, не участвующего в деле (Катаевой Валерии Евгеньевны), не нарушают права и интересы истца. Само лицо, не участвующее в деле, с кассационной жалобой 2 на указанные судебные акты в Верховный суд Российской Федерации не обращалось. При таких обстоятельствах оснований для передачи кассационной жалобы для рассмотрения в судебном заседании Судебной коллегии Верховного Суда Российской Федерации не имеется.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«Право и финансы»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