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20.02.2023, оставленным без изменения постановлением Восемнадцатого арбитражного апелляционного суда от 07.04.2023 и постановлением Арбитражного суда Уральского округа от 18.07.2023, из конкурсной массы должника исключены денежные средств в размере 1 097 230 рублей 16 копеек. В кассационной жалобе Сотников А.Ю. просит об отмене судебных актов, ссылаясь на игнорирование недобросовестности должника, снимающей исполнительский иммунитет с оставшейся после удовлетворения требования залогового кредитора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ситуации реализации залогового имущества должника, являющегося его единственным жильем, и проведении расчетов с залоговым кредитором суды удовлетворили требование в установленной сумме в соответствии со статьей 446 Гражданского процессуального кодекса Российской Федерации. Суды не установили недобросовестности в действиях должника в отношении Сотникова А.Ю.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Сотникову Андрею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