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29.05.2023, оставленным без изменения постановлением Одиннадцатого арбитражного апелляционного суда от 12.07.2023 и постановлением Арбитражного суда Поволжского округа от 19.09.2023,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