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участников строительства требования о передаче жилого помещения – двухкомнатной квартиры по адресу: г. Москва, пом. Десеновское, д. Десна, д.6, этаж 3, кв .22, общей площадью 68,4 кв.м., вытекающего из договора долевого участия в строительстве от 14.12.2017 №6/22/ДЛ5/14122017, заключенного между обществом ограниченной ответственностью «ПромСпецСтрой» (участник долевого строительства) и застройщиком, переданного обществу по соглашению от 10.04.2018 №22 об уступке прав и обязанностей. Определением Арбитражного суда города Москвы от 10.02.2023, оставленным без изменения постановлениями Девятого арбитражного апелляционного суда от 26.05.2023 и Арбитражного суда Московского округа от 28.08.2023,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включении требования о передаче жилого помещения в реестр требований участников строительства.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201.1, 201.4, 201.9 Федерального закона от 26.10.2002 № 127-ФЗ «О несостоятельности (банкротстве)», исходили из того, что обществом не представлено доказательств в обоснование включения требования о передаче жилого помещения в реестр требований участников строительства, в связи с чем отказали в удовлетворении заявления.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